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94CC7" w14:paraId="79E0576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65B832" w14:textId="77777777" w:rsidR="00E94CC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D582716" w14:textId="77777777" w:rsidR="00E94CC7" w:rsidRDefault="00000000">
            <w:pPr>
              <w:spacing w:after="0" w:line="240" w:lineRule="auto"/>
            </w:pPr>
            <w:r>
              <w:t>40490</w:t>
            </w:r>
          </w:p>
        </w:tc>
      </w:tr>
      <w:tr w:rsidR="00E94CC7" w14:paraId="3485895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86C1AC" w14:textId="77777777" w:rsidR="00E94CC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2C0ABA5" w14:textId="77777777" w:rsidR="00E94CC7" w:rsidRDefault="00000000">
            <w:pPr>
              <w:spacing w:after="0" w:line="240" w:lineRule="auto"/>
            </w:pPr>
            <w:r>
              <w:t>LJEČILIŠTE TOPUSKO</w:t>
            </w:r>
          </w:p>
        </w:tc>
      </w:tr>
      <w:tr w:rsidR="00E94CC7" w14:paraId="6EE731A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F2DBDA" w14:textId="77777777" w:rsidR="00E94CC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CE8ED5F" w14:textId="77777777" w:rsidR="00E94CC7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3669945D" w14:textId="77777777" w:rsidR="00E94CC7" w:rsidRDefault="00000000">
      <w:r>
        <w:br/>
      </w:r>
    </w:p>
    <w:p w14:paraId="0B6D7773" w14:textId="77777777" w:rsidR="00E94CC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18C2B15" w14:textId="77777777" w:rsidR="00E94CC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95D6FDC" w14:textId="77777777" w:rsidR="00E94CC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09943B6" w14:textId="77777777" w:rsidR="00E94CC7" w:rsidRDefault="00E94CC7"/>
    <w:p w14:paraId="62C754A3" w14:textId="77777777" w:rsidR="00E94CC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406E1E9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49D52D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5625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9798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7B0B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34EA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DEF6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72BB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45E927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010A5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FB476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E5258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9C85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5.986.631,36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7B1A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5.850.054,87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7642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  <w:tr w:rsidR="00E94CC7" w14:paraId="634635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1CC3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512F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50FD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D152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4.074.231,42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14A8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4.095.468,52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5742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  <w:tr w:rsidR="00E94CC7" w14:paraId="35C796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0D783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8710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56C2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377C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1.912.399,94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7C692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1.754.586,35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9935F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91,7</w:t>
            </w:r>
          </w:p>
        </w:tc>
      </w:tr>
      <w:tr w:rsidR="00E94CC7" w14:paraId="6E8F31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68BE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265C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8427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B872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CE9E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599E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  <w:tr w:rsidR="00E94CC7" w14:paraId="3DD0CC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C261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E596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9D4A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123D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716.694,22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939C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12.776.288,75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ABAE5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1782,7</w:t>
            </w:r>
          </w:p>
        </w:tc>
      </w:tr>
      <w:tr w:rsidR="00E94CC7" w14:paraId="11B3EC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27396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9042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2258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5F36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716.445,94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75D9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12.775.987,11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EDD1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1783,2</w:t>
            </w:r>
          </w:p>
        </w:tc>
      </w:tr>
      <w:tr w:rsidR="00E94CC7" w14:paraId="6B0503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8D3D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2ED2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04D5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4564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EC0C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3.894.217,73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75E9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94CC7" w14:paraId="701282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513C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3B87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98A65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F2F9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133.795,80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27B9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1.133.795,80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C3CB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847,4</w:t>
            </w:r>
          </w:p>
        </w:tc>
      </w:tr>
      <w:tr w:rsidR="00E94CC7" w14:paraId="212370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4C3DD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AAFA7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1869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612E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0B21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2.760.421,93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BF0D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94CC7" w14:paraId="7BBC4B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001A5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3C171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DD83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DA00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1472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8.260.978,83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23F8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1A39AB5" w14:textId="77777777" w:rsidR="00E94CC7" w:rsidRDefault="00E94CC7">
      <w:pPr>
        <w:spacing w:after="0"/>
      </w:pPr>
    </w:p>
    <w:p w14:paraId="7C72D184" w14:textId="77777777" w:rsidR="00E94CC7" w:rsidRDefault="00000000">
      <w:r>
        <w:t xml:space="preserve">Lječilište Topusko u razdoblju od 01.01.2025. do 31.12.2025. godine bilježi manjak prihoda i primitaka (Y005) u iznosu od 8.260.978,83 eura, najvećim dijelom kao posljedica povećanja rashoda za nabavu nefinancijske imovine koja se odnosi na izvođenje projekta Topusko na izvoru zdravlja lječilišni - wellness turizam na održiv način. Rashodi se odnose na radove na rekonstrukciji, obnovi i nadogradnji Hotela Toplica i dodatnih sadržaja sa opremanjem. Spomenuti projekt financira se dijelom iz ministarstva turizma i sporta temeljem sklopljenog </w:t>
      </w:r>
      <w:r>
        <w:lastRenderedPageBreak/>
        <w:t>Ugovora o dodjeli bespovratnih sredstava, a drugim dijelom kreditima sklopljenim sa Hrvatskom bankom za obnovu i razvitak.</w:t>
      </w:r>
    </w:p>
    <w:p w14:paraId="5BDCA4E5" w14:textId="77777777" w:rsidR="00E94CC7" w:rsidRDefault="00000000">
      <w:r>
        <w:t xml:space="preserve">Višak prihoda poslovanja (šifra X001 u obrascu PR-RAS) iznosi 1.754.586,35 </w:t>
      </w:r>
      <w:proofErr w:type="spellStart"/>
      <w:r>
        <w:t>eur</w:t>
      </w:r>
      <w:proofErr w:type="spellEnd"/>
      <w:r>
        <w:t xml:space="preserve">, višak prihoda poslovanja - preneseni iznosi 2.800.577,58 eura što ukupno iznosi 4.555.163,93 </w:t>
      </w:r>
      <w:proofErr w:type="spellStart"/>
      <w:r>
        <w:t>eur</w:t>
      </w:r>
      <w:proofErr w:type="spellEnd"/>
      <w:r>
        <w:t xml:space="preserve">. Nakon provedenih obveznih korekcija u ukupnom iznosu 1.061.577,55 eura (konto 63241 - kapitalne pomoći od institucija i tijela EU u iznosu 789.568,01 eura - IF -5.2.3., konto - 63821 - kapitalne pomoći iz državnog proračuna temeljem prijenosa EU sredstava u iznosu 29.287,14 eura - IF - 5.2.2. i konto 67121 - prihodi iz nadležnog proračuna za financiranje rashoda za nabavu nefinancijske imovine u iznosu od 242.722,40 </w:t>
      </w:r>
      <w:proofErr w:type="spellStart"/>
      <w:r>
        <w:t>eur</w:t>
      </w:r>
      <w:proofErr w:type="spellEnd"/>
      <w:r>
        <w:t xml:space="preserve"> - IF - 1.6.) višak prihoda poslovanja u obrascu bilance - konto 92211 iznosi 3.493.586,38 </w:t>
      </w:r>
      <w:proofErr w:type="spellStart"/>
      <w:r>
        <w:t>eur</w:t>
      </w:r>
      <w:proofErr w:type="spellEnd"/>
      <w:r>
        <w:t>.</w:t>
      </w:r>
    </w:p>
    <w:p w14:paraId="3AAED8CE" w14:textId="77777777" w:rsidR="00E94CC7" w:rsidRDefault="00000000">
      <w:r>
        <w:t xml:space="preserve">Manjak prihoda od nefinancijske imovine (šifra Y002 u obrascu PR-RAS) iznosi 12.775.987,11 eura, manjak prihoda od nefinancijske imovine - preneseni iznosi 1.258.286,29 eura što ukupno iznosi 14.034.273,40 </w:t>
      </w:r>
      <w:proofErr w:type="spellStart"/>
      <w:r>
        <w:t>eur</w:t>
      </w:r>
      <w:proofErr w:type="spellEnd"/>
      <w:r>
        <w:t xml:space="preserve">. Nakon provedenih gore spomenutih obveznih korekcija u iznosu od 1.061.577,55 eura, manjak prihoda od nefinancijske imovine u obrascu bilance - konto 92222 iznosi 12.972.695,85 </w:t>
      </w:r>
      <w:proofErr w:type="spellStart"/>
      <w:r>
        <w:t>eur</w:t>
      </w:r>
      <w:proofErr w:type="spellEnd"/>
      <w:r>
        <w:t>.</w:t>
      </w:r>
    </w:p>
    <w:p w14:paraId="60C03B17" w14:textId="77777777" w:rsidR="00E94CC7" w:rsidRDefault="00000000">
      <w:r>
        <w:t xml:space="preserve">Višak primitaka od financijske imovine i zaduživanja (šifra X003 u obrascu PR-RAS) iznosi 2.760.421,93 eura, manjak primitaka od financijske imovine i zaduživanja - preneseni - konto 92223 iznosi 113.309,63 </w:t>
      </w:r>
      <w:proofErr w:type="spellStart"/>
      <w:r>
        <w:t>eur</w:t>
      </w:r>
      <w:proofErr w:type="spellEnd"/>
      <w:r>
        <w:t xml:space="preserve"> što ukupno iznosi 2.647.112,30 </w:t>
      </w:r>
      <w:proofErr w:type="spellStart"/>
      <w:r>
        <w:t>eur</w:t>
      </w:r>
      <w:proofErr w:type="spellEnd"/>
      <w:r>
        <w:t>, te je iskazan u obrascu bilanca konto 92213.</w:t>
      </w:r>
    </w:p>
    <w:p w14:paraId="49A7BC8B" w14:textId="77777777" w:rsidR="00E94CC7" w:rsidRDefault="00000000">
      <w:r>
        <w:br/>
      </w:r>
    </w:p>
    <w:p w14:paraId="42F8FC82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1F63D73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BE32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6973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4652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9AE9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C72E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11F2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22E7FC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4CCA5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BCA7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2AF4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B7A2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204.045,65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9326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789.568,01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09C4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387,0</w:t>
            </w:r>
          </w:p>
        </w:tc>
      </w:tr>
    </w:tbl>
    <w:p w14:paraId="38BE4C28" w14:textId="77777777" w:rsidR="00E94CC7" w:rsidRDefault="00E94CC7">
      <w:pPr>
        <w:spacing w:after="0"/>
      </w:pPr>
    </w:p>
    <w:p w14:paraId="777C598B" w14:textId="77777777" w:rsidR="00E94CC7" w:rsidRDefault="00000000">
      <w:r>
        <w:t xml:space="preserve">U promatranom razdoblju evidentiran je prihod za financiranje projekta </w:t>
      </w:r>
      <w:proofErr w:type="spellStart"/>
      <w:r>
        <w:t>REWARDHeat</w:t>
      </w:r>
      <w:proofErr w:type="spellEnd"/>
      <w:r>
        <w:t xml:space="preserve">-Obzor 2020 u iznosu od 789.568,01 </w:t>
      </w:r>
      <w:proofErr w:type="spellStart"/>
      <w:r>
        <w:t>eur</w:t>
      </w:r>
      <w:proofErr w:type="spellEnd"/>
      <w:r>
        <w:t>. Navedeni iznos se odnosi na uplatu sredstava sukladno ispostavljenom Zahtjevu za nadoknadom sredstava odgovarajućih troškova koji su nastali u prethodnom razdoblju.</w:t>
      </w:r>
    </w:p>
    <w:p w14:paraId="7884207B" w14:textId="77777777" w:rsidR="00E94CC7" w:rsidRDefault="00E94CC7"/>
    <w:p w14:paraId="7FDEF99A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776B9F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A90F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73B1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32E3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0985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05F4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DAD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43C6E8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327A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61D4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EB36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5DC4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12.595,88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133F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2605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0BF7EFA" w14:textId="77777777" w:rsidR="00E94CC7" w:rsidRDefault="00E94CC7">
      <w:pPr>
        <w:spacing w:after="0"/>
      </w:pPr>
    </w:p>
    <w:p w14:paraId="0D770607" w14:textId="77777777" w:rsidR="00E94CC7" w:rsidRDefault="00000000">
      <w:r>
        <w:lastRenderedPageBreak/>
        <w:t>Ostvareni iznos u prethodnom razdoblju odnosi se na prihod od Hrvatskog zavoda za zapošljavanje za financiranje mjere pripravništva 4 fizioterapeuta dok isti u promatranom izvještajnom razdoblju nije ostvaren.</w:t>
      </w:r>
    </w:p>
    <w:p w14:paraId="2A2EFFC7" w14:textId="77777777" w:rsidR="00E94CC7" w:rsidRDefault="00E94CC7"/>
    <w:p w14:paraId="681748D6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77262B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227E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109C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063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BEC7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B3B5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055B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C291C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BBC9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E290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97C6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7AED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253.060,64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AC23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8E795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0424D2C" w14:textId="77777777" w:rsidR="00E94CC7" w:rsidRDefault="00E94CC7">
      <w:pPr>
        <w:spacing w:after="0"/>
      </w:pPr>
    </w:p>
    <w:p w14:paraId="5A975804" w14:textId="77777777" w:rsidR="00E94CC7" w:rsidRDefault="00000000">
      <w:r>
        <w:t xml:space="preserve">Ostvaren iznos pomoći u prethodnom izvještajnom razdoblju najvećim dijelom odnosi se na prihod Ministarstva zdravstva putem Fonda solidarnosti za obnovu zgrade Vile Zelengaj - programa/aktivnosti "Ulaganje u objekte zdravstva - POTRES" u iznosu od 232.886,44 eura. Iznos od 13.974,20 eura odnosi se na uplatu Ministarstva zdravstva za sufinanciranje nabave medicinske opreme i izrade analize i balneološkog mišljenja </w:t>
      </w:r>
      <w:proofErr w:type="spellStart"/>
      <w:r>
        <w:t>termomineralne</w:t>
      </w:r>
      <w:proofErr w:type="spellEnd"/>
      <w:r>
        <w:t xml:space="preserve"> vode u uporabi </w:t>
      </w:r>
      <w:proofErr w:type="spellStart"/>
      <w:r>
        <w:t>peloida</w:t>
      </w:r>
      <w:proofErr w:type="spellEnd"/>
      <w:r>
        <w:t xml:space="preserve"> u lječilišne svrhe temeljem programa Ulaganje u poboljšanje kvalitete pružanja lječilišnih usluga u zdravstvenom turizmu. Isti prihod u promatranom izvještajnom razdoblju nije ostvaren.</w:t>
      </w:r>
    </w:p>
    <w:p w14:paraId="7B1872C8" w14:textId="77777777" w:rsidR="00E94CC7" w:rsidRDefault="00E94CC7"/>
    <w:p w14:paraId="73F860FC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062357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D86F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0002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2E87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D8A6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2810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CE90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2438F3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AF3E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CE24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292F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C01C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554.098,11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C8A5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29.287,14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489D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</w:t>
            </w:r>
          </w:p>
        </w:tc>
      </w:tr>
    </w:tbl>
    <w:p w14:paraId="37E4E242" w14:textId="77777777" w:rsidR="00E94CC7" w:rsidRDefault="00E94CC7">
      <w:pPr>
        <w:spacing w:after="0"/>
      </w:pPr>
    </w:p>
    <w:p w14:paraId="62C8DCFC" w14:textId="77777777" w:rsidR="00E94CC7" w:rsidRDefault="00000000">
      <w:r>
        <w:t xml:space="preserve">U prethodnom razdoblju ostvareni iznos pomoći najvećim dijelom u iznosu od 243.548,88 eura se odnosi na prihod Ministarstva turizma i sporta za projekt Topusko na izvoru </w:t>
      </w:r>
      <w:proofErr w:type="spellStart"/>
      <w:r>
        <w:t>zdavlja</w:t>
      </w:r>
      <w:proofErr w:type="spellEnd"/>
      <w:r>
        <w:t xml:space="preserve"> - lječilišni i wellness turizam na održiv način u dijelu koji se odnosi većinom na sufinanciranje izrade projektne dokumentacije. Ostali iznos od 239.172,59 eura odnosi se na sufinanciranje projekta Topusko pametni termalni grad Ministarstva regionalnog razvoja i fondova EU. U promatranom izvještajnom razdoblju ostvaren je prihod sukladno ispostavljenim Zahtjevima za nadoknadom sredstava za </w:t>
      </w:r>
      <w:proofErr w:type="spellStart"/>
      <w:r>
        <w:t>finaciranje</w:t>
      </w:r>
      <w:proofErr w:type="spellEnd"/>
      <w:r>
        <w:t xml:space="preserve"> projekta Topusko na izvoru zdravlja - lječilišni i wellness turizam na održiv način.</w:t>
      </w:r>
    </w:p>
    <w:p w14:paraId="4ED295AC" w14:textId="77777777" w:rsidR="00E94CC7" w:rsidRDefault="00E94CC7"/>
    <w:p w14:paraId="7FC4D76C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48B32D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958A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BA3D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A25E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D203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94C7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9E4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72C31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2F02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34F5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8D57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2FE6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756.049,22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718D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667.733,46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03B3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14:paraId="15648BEA" w14:textId="77777777" w:rsidR="00E94CC7" w:rsidRDefault="00E94CC7">
      <w:pPr>
        <w:spacing w:after="0"/>
      </w:pPr>
    </w:p>
    <w:p w14:paraId="4D583ED6" w14:textId="77777777" w:rsidR="00E94CC7" w:rsidRDefault="00000000">
      <w:r>
        <w:t>U promatranom izvještajnom razdoblju zabilježen je manji prihod od dopunskog zdravstvenog osiguranja kao posljedica dinamike uplata od HZZO-a kao i odraz ostvarenja usluga/prihoda temeljem osnovnog zdravstvenog osiguranja.</w:t>
      </w:r>
    </w:p>
    <w:p w14:paraId="4D6F85BD" w14:textId="77777777" w:rsidR="00E94CC7" w:rsidRDefault="00E94CC7"/>
    <w:p w14:paraId="4A6A7003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544E95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8007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6220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54AA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EB5B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E631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CE80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682A63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504C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622E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70B55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A93E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988A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B04F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D316110" w14:textId="77777777" w:rsidR="00E94CC7" w:rsidRDefault="00E94CC7">
      <w:pPr>
        <w:spacing w:after="0"/>
      </w:pPr>
    </w:p>
    <w:p w14:paraId="2A656A98" w14:textId="77777777" w:rsidR="00E94CC7" w:rsidRDefault="00000000">
      <w:r>
        <w:t>Navedeni prihodi u prethodnom razdoblju odnose se na donaciju UNICEF-a za završni dio sufinanciranja izrade senzorne sobe, a koja je većim dijelom bila financirana u 2023. godini. U promatranom izvještajnom razdoblju isti prihod nije ostvaren.</w:t>
      </w:r>
    </w:p>
    <w:p w14:paraId="0FB72383" w14:textId="77777777" w:rsidR="00E94CC7" w:rsidRDefault="00E94CC7"/>
    <w:p w14:paraId="7FDA0757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31971E8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8A1F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B842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AE30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4693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575D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6938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0C756C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BE60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33ABF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85F39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9CE4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C031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15.625,10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050B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234,7</w:t>
            </w:r>
          </w:p>
        </w:tc>
      </w:tr>
    </w:tbl>
    <w:p w14:paraId="0FDE9289" w14:textId="77777777" w:rsidR="00E94CC7" w:rsidRDefault="00E94CC7">
      <w:pPr>
        <w:spacing w:after="0"/>
      </w:pPr>
    </w:p>
    <w:p w14:paraId="68A85E58" w14:textId="77777777" w:rsidR="00E94CC7" w:rsidRDefault="00000000">
      <w:r>
        <w:t>U promatranom razdoblju ostvaren je veći prihod u odnosu na prethodno izvještajno razdoblje, a najvećim dijelom se odnosi na prihod od Republike Hrvatske po pravomoćnoj parničnoj presudi u korist Lječilišta Topusko za parnične troškove za 4 stana na adresi Novo naselje 6A, 6B i 6C.</w:t>
      </w:r>
    </w:p>
    <w:p w14:paraId="1E38483D" w14:textId="77777777" w:rsidR="00E94CC7" w:rsidRDefault="00E94CC7"/>
    <w:p w14:paraId="7037FFB5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566162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9C1C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04D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C1D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DD90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BE60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406B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063A7E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B7E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B68A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B1C80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10CB5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102.286,86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123B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79.051,46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3100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77,3</w:t>
            </w:r>
          </w:p>
        </w:tc>
      </w:tr>
    </w:tbl>
    <w:p w14:paraId="0D020088" w14:textId="77777777" w:rsidR="00E94CC7" w:rsidRDefault="00E94CC7">
      <w:pPr>
        <w:spacing w:after="0"/>
      </w:pPr>
    </w:p>
    <w:p w14:paraId="20DB0C0B" w14:textId="77777777" w:rsidR="00E94CC7" w:rsidRDefault="00000000">
      <w:r>
        <w:lastRenderedPageBreak/>
        <w:t>U promatranom izvještajnom razdoblju zabilježeno je smanjenje naknade troškova zaposlenicima, a najvećim dijelom se odnose na troškove naknada za prijevoz kao posljedica smanjenja broja zaposlenika koji ostvaruju pravo na isto.</w:t>
      </w:r>
    </w:p>
    <w:p w14:paraId="0E69C30A" w14:textId="77777777" w:rsidR="00E94CC7" w:rsidRDefault="00E94CC7"/>
    <w:p w14:paraId="0A6BFD39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2E044E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E3C1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403A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D6B5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BFFF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756E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DFA9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3058B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C9DB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B42B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BE44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0C07F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971.867,84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5A00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1.118.927,69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908D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56B29049" w14:textId="77777777" w:rsidR="00E94CC7" w:rsidRDefault="00E94CC7">
      <w:pPr>
        <w:spacing w:after="0"/>
      </w:pPr>
    </w:p>
    <w:p w14:paraId="1B562214" w14:textId="77777777" w:rsidR="00E94CC7" w:rsidRDefault="00000000">
      <w:r>
        <w:t>Povećanje rashoda najvećim dijelom se odnosi na intelektualne usluge kao posljedica sklopljenih Ugovora sa liječnicima specijalistima fizikalne medicine i rehabilitacije za obavljanje pregleda stacionarnih i ambulantnih, te hitnih pregleda u dežurstvu, obzirom na nedostatak stalno zaposlenih liječnika fizijatara što osobito dolazi do izražaja tijekom korištenja godišnjih odmora. Također došlo je i do porasta rashoda komunalnih usluga, računalnih usluga i usluga temeljem sklopljenog Ugovora o poslovno-tehničkoj suradnji za obroke korisnika Lječilišta i troškove plaća djelatnika društva kćeri TOP - TERME d.o.o. za usluge nabave, računovodstva, strojara i zaštite od požara zbog povećanja plaća radnika u Društvu.</w:t>
      </w:r>
    </w:p>
    <w:p w14:paraId="52661FC6" w14:textId="77777777" w:rsidR="00E94CC7" w:rsidRDefault="00E94CC7"/>
    <w:p w14:paraId="32DDC5D9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6FCF07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BE44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17ED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AD78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B69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91A3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0B6B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747AF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2F5A8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72B17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lijekova i potrošnog medicinskog materijala kod zdravstvenih ustanova 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CCAF9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3A67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5442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9.767,66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42C6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320886" w14:textId="77777777" w:rsidR="00E94CC7" w:rsidRDefault="00E94CC7">
      <w:pPr>
        <w:spacing w:after="0"/>
      </w:pPr>
    </w:p>
    <w:p w14:paraId="1E7DDDB7" w14:textId="77777777" w:rsidR="00E94CC7" w:rsidRDefault="00000000">
      <w:r>
        <w:t>Zbog uvođenja nove podskupine računa rashoda 325-Rashodi lijekova i potrošnog medicinskog materijala kod zdravstvenih ustanova, bilježimo povećanje u promatranom razdoblju obzirom da su se u prethodnom razdoblju isti iskazivali u okviru podskupine 322-Materijal i sirovine.</w:t>
      </w:r>
    </w:p>
    <w:p w14:paraId="5DAF7192" w14:textId="77777777" w:rsidR="00E94CC7" w:rsidRDefault="00E94CC7"/>
    <w:p w14:paraId="2EA4E1CE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73D2B9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767A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0B7B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4512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A1A0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6A9E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212A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547310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9E6F9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EE21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5053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50B6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105.415,93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3701F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92.674,30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18D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14:paraId="5D4DE0C2" w14:textId="77777777" w:rsidR="00E94CC7" w:rsidRDefault="00E94CC7">
      <w:pPr>
        <w:spacing w:after="0"/>
      </w:pPr>
    </w:p>
    <w:p w14:paraId="0FB46AE4" w14:textId="77777777" w:rsidR="00E94CC7" w:rsidRDefault="00000000">
      <w:r>
        <w:t xml:space="preserve">U prethodno promatranom razdoblju ostvaren je trošak upravne pristojbe za izdavanje lokacijske dozvole za projekt izgradnje Doma 3, nove bolničke zgrade, dok isti ne bilježimo u </w:t>
      </w:r>
      <w:r>
        <w:lastRenderedPageBreak/>
        <w:t>izvještajnom razdoblju tekuće godine. Također u izvještajnom razdoblju prethodne godine je ostvaren trošak naknade za zaštitu voda, dok isti nije ostvaren u tekućem izvještajnom razdoblju.</w:t>
      </w:r>
    </w:p>
    <w:p w14:paraId="17755C56" w14:textId="77777777" w:rsidR="00E94CC7" w:rsidRDefault="00E94CC7"/>
    <w:p w14:paraId="0C6408DE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20A169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4D3E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2726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AB9E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A6B0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9719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6A91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FF944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B9878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F527A9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F3FC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FB1A2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12.850,04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E47A2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29.232,17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EB2A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227,5</w:t>
            </w:r>
          </w:p>
        </w:tc>
      </w:tr>
    </w:tbl>
    <w:p w14:paraId="58D48F35" w14:textId="77777777" w:rsidR="00E94CC7" w:rsidRDefault="00E94CC7">
      <w:pPr>
        <w:spacing w:after="0"/>
      </w:pPr>
    </w:p>
    <w:p w14:paraId="6D86CB5A" w14:textId="77777777" w:rsidR="00E94CC7" w:rsidRDefault="00000000">
      <w:r>
        <w:t xml:space="preserve">U promatranom razdoblju bilježimo povećanje rashoda kamata za primljene kredite od kreditnih institucija u javnom sektoru zbog </w:t>
      </w:r>
      <w:proofErr w:type="spellStart"/>
      <w:r>
        <w:t>interkalarne</w:t>
      </w:r>
      <w:proofErr w:type="spellEnd"/>
      <w:r>
        <w:t xml:space="preserve"> kamate Hrvatskoj banci za obnovu i razvitak za kreditiranje projekta Topusko na izvoru zdravlja - lječilišni i wellness turizam na održiv način u sklopu NPOO-a. </w:t>
      </w:r>
    </w:p>
    <w:p w14:paraId="6734397F" w14:textId="77777777" w:rsidR="00E94CC7" w:rsidRDefault="00E94CC7"/>
    <w:p w14:paraId="598EBC70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54D773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005D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C7A7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423D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0CB4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FFA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433E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291986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85A6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24457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4ACA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03DA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23.629,15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96E2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29.234,76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4BDF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535066C0" w14:textId="77777777" w:rsidR="00E94CC7" w:rsidRDefault="00E94CC7">
      <w:pPr>
        <w:spacing w:after="0"/>
      </w:pPr>
    </w:p>
    <w:p w14:paraId="4E82ADAA" w14:textId="77777777" w:rsidR="00E94CC7" w:rsidRDefault="00000000">
      <w:r>
        <w:t>Ostvareni rashodi u promatranom izvještajnom razdoblju najvećim dijelom se odnose na naknadu za obradu kreditnog zahtjeva prema Hrvatskoj banci za obnovu i razvitak za kreditiranje projekta Topusko na izvoru zdravlja - lječilišni i wellness turizam na održiv način u sklopu NPOO-a.</w:t>
      </w:r>
    </w:p>
    <w:p w14:paraId="064D2B67" w14:textId="77777777" w:rsidR="00E94CC7" w:rsidRDefault="00E94CC7"/>
    <w:p w14:paraId="5986BD52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07E3F3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9E7C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C9F5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9D0B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86C3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C909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3A81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14B17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17B7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97FD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društvima, zadrugama, poljoprivrednicima i obrtnicima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9E9C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ADB4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94.405,91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BE88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518F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8C48DE3" w14:textId="77777777" w:rsidR="00E94CC7" w:rsidRDefault="00E94CC7">
      <w:pPr>
        <w:spacing w:after="0"/>
      </w:pPr>
    </w:p>
    <w:p w14:paraId="7783F8F4" w14:textId="77777777" w:rsidR="00E94CC7" w:rsidRDefault="00000000">
      <w:r>
        <w:t>U prethodnom razdoblju subvencija se odnosi na prijenos sredstava za financiranje troškova povezanom subjektu TOP-TERME d.o.o. u sklopu projekta  "Topusko pametni termalni grad", a uplaćenih od strane Ministarstva regionalnog razvoja i fondova EU na račun Lječilišta obzirom da je Lječilište nositelj, a navedeno društvo partner u navedenom projektu.</w:t>
      </w:r>
    </w:p>
    <w:p w14:paraId="1CF2B163" w14:textId="77777777" w:rsidR="00E94CC7" w:rsidRDefault="00E94CC7"/>
    <w:p w14:paraId="258BE979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60A336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89DE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D68D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B475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B87A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0D9D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2708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41081B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0FA2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9029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5D1B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C5345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3519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EBBD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08E219" w14:textId="77777777" w:rsidR="00E94CC7" w:rsidRDefault="00E94CC7">
      <w:pPr>
        <w:spacing w:after="0"/>
      </w:pPr>
    </w:p>
    <w:p w14:paraId="42D6C01C" w14:textId="77777777" w:rsidR="00E94CC7" w:rsidRDefault="00000000">
      <w:r>
        <w:t>U promatranom razdoblju rashodi se odnose na školarinu za specijalistički postdiplomski, te troškove specijalizacije liječnika specijalizanta na specijalističkom usavršavanju.</w:t>
      </w:r>
    </w:p>
    <w:p w14:paraId="4394C2B8" w14:textId="77777777" w:rsidR="00E94CC7" w:rsidRDefault="00E94CC7"/>
    <w:p w14:paraId="3CFEF0CC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77CD4B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8A7C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B68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BC06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09F6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F516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2142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1C246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1AF44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D944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D3F35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E939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00E2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C93E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651790F0" w14:textId="77777777" w:rsidR="00E94CC7" w:rsidRDefault="00E94CC7">
      <w:pPr>
        <w:spacing w:after="0"/>
      </w:pPr>
    </w:p>
    <w:p w14:paraId="54202B5E" w14:textId="77777777" w:rsidR="00E94CC7" w:rsidRDefault="00000000">
      <w:r>
        <w:t>Povećanje prihoda se odnosi na prihode od prodaje stambenih objekata.</w:t>
      </w:r>
    </w:p>
    <w:p w14:paraId="712C895D" w14:textId="77777777" w:rsidR="00E94CC7" w:rsidRDefault="00E94CC7"/>
    <w:p w14:paraId="549EBB48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648896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394C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00F3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4277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AD77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81AB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694D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33947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0237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DE9F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4AE9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AFAB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24.230,04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16E9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12.023.364,32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B5E9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7755E96" w14:textId="77777777" w:rsidR="00E94CC7" w:rsidRDefault="00E94CC7">
      <w:pPr>
        <w:spacing w:after="0"/>
      </w:pPr>
    </w:p>
    <w:p w14:paraId="2CBA795C" w14:textId="77777777" w:rsidR="00E94CC7" w:rsidRDefault="00000000">
      <w:r>
        <w:t>Rashod se odnosi na projekt Topusko na izvoru zdravlja - lječilišni i wellness turizam na održiv način koji predstavlja u najvećem dijelu ulaganje u obnovu Hotela Toplica u vlasništvu tvrtke kćeri Lječilišta Topusko pa se knjiži na konto 4124-Ostala prava odnosno ostala nespomenuta prava. Spomenuti trošak odnosi se na trošak radova, stručnog i projektantskog nadzora, usluge voditelja gradnje, te administrativno vođenje projekta. </w:t>
      </w:r>
    </w:p>
    <w:p w14:paraId="08CE823C" w14:textId="77777777" w:rsidR="00E94CC7" w:rsidRDefault="00E94CC7"/>
    <w:p w14:paraId="7566FA08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227268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2F4A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F715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D1BC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FB26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CF99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F97E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6F76E4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F61C8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6E370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018D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642E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15.087,76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089D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105.621,50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5616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</w:t>
            </w:r>
          </w:p>
        </w:tc>
      </w:tr>
    </w:tbl>
    <w:p w14:paraId="3F2C60D4" w14:textId="77777777" w:rsidR="00E94CC7" w:rsidRDefault="00E94CC7">
      <w:pPr>
        <w:spacing w:after="0"/>
      </w:pPr>
    </w:p>
    <w:p w14:paraId="248B751E" w14:textId="77777777" w:rsidR="00E94CC7" w:rsidRDefault="00000000">
      <w:r>
        <w:t>U promatranom razdoblju ostvaren je veći trošak ulaganja u računalne programe vezano za nadogradnju i modernizaciju bolničkog informacijskog sustava kao i informacijskog sustava za urudžbiranje ulaznih dokumenata, evidenciju i likvidaturu računa.</w:t>
      </w:r>
    </w:p>
    <w:p w14:paraId="1518BA0C" w14:textId="77777777" w:rsidR="00E94CC7" w:rsidRDefault="00E94CC7"/>
    <w:p w14:paraId="70A61009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0F64FD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2138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39EA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AFFA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E9B5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9FAC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6512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74A711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2812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2489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8310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EE29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187.659,75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89CE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429.276,84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7BA6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228,8</w:t>
            </w:r>
          </w:p>
        </w:tc>
      </w:tr>
    </w:tbl>
    <w:p w14:paraId="484627CB" w14:textId="77777777" w:rsidR="00E94CC7" w:rsidRDefault="00E94CC7">
      <w:pPr>
        <w:spacing w:after="0"/>
      </w:pPr>
    </w:p>
    <w:p w14:paraId="46716B31" w14:textId="77777777" w:rsidR="00E94CC7" w:rsidRDefault="00000000">
      <w:r>
        <w:t>Najveći dio ostvarenih rashoda u prethodnom razdoblju odnosi se na rashode obnove prva dva kata B strane zgrade Petrova Gora gdje se nalaze bolničko-smještajni kapaciteti ustanove, a koji su bili potrebni obzirom na dotrajalost zgrade. Izvedeni su dodatni soboslikarsko-</w:t>
      </w:r>
      <w:proofErr w:type="spellStart"/>
      <w:r>
        <w:t>ličilački</w:t>
      </w:r>
      <w:proofErr w:type="spellEnd"/>
      <w:r>
        <w:t xml:space="preserve">, keramički, </w:t>
      </w:r>
      <w:proofErr w:type="spellStart"/>
      <w:r>
        <w:t>podopolagački</w:t>
      </w:r>
      <w:proofErr w:type="spellEnd"/>
      <w:r>
        <w:t xml:space="preserve"> i ostali građevinsko-obrtnički radovi, a sukladno financijskim mogućnostima ustanove. U promatranom razdoblju rashod se odnosi na trošak izrade projektno tehničke dokumentacije za izgradnju zgrade zdravstvene infrastrukture Lječilišta Topusko odnosno nove bolničke zgrade DOM III, na trošak projekta uklanjanja i geotehnički istražni radovi s elaboratom, trošak zamjene hidro stanice za hidrantsku mrežu Petrova Gora kao i elektroinstalaterske radove, te obnovu zgrade Kinematograf.</w:t>
      </w:r>
    </w:p>
    <w:p w14:paraId="082A057B" w14:textId="77777777" w:rsidR="00E94CC7" w:rsidRDefault="00E94CC7"/>
    <w:p w14:paraId="4F20E885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057BDB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50FE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1009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0869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DBC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4113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6815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20EA36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7D1E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CFC2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postrojenjima i opremi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92C9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2D84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335.278,56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0CD0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57.828,64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745B5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17,2</w:t>
            </w:r>
          </w:p>
        </w:tc>
      </w:tr>
    </w:tbl>
    <w:p w14:paraId="54424EB7" w14:textId="77777777" w:rsidR="00E94CC7" w:rsidRDefault="00E94CC7">
      <w:pPr>
        <w:spacing w:after="0"/>
      </w:pPr>
    </w:p>
    <w:p w14:paraId="0ED2B7D2" w14:textId="77777777" w:rsidR="00E94CC7" w:rsidRDefault="00000000">
      <w:r>
        <w:t xml:space="preserve">U prethodnom razdoblju najveći trošak u sklopu stavke odnosi se na uslugu izrade idejnog i glavnog projekta pod nazivom Zamjena i proširenje toplovodne mreže geotermalne vode u Topuskom, proširenje Centralne toplinske stanice i dogradnja podzemnog spremnika, proširenje i obnova toplinske stanice TEB-3, te gradnja toplinske stanice TEB-1 koji se sufinancira u sklopu projekta Topusko pametni termalni grad Ministarstva regionalnog razvoja i fondova EU programa EAA </w:t>
      </w:r>
      <w:proofErr w:type="spellStart"/>
      <w:r>
        <w:t>granta</w:t>
      </w:r>
      <w:proofErr w:type="spellEnd"/>
      <w:r>
        <w:t>. U promatranom razdoblju rashodi se odnose na izradu glavnog projekta modernizacije trafostanice, te troškove zamjene dijela toplovodne mreže.</w:t>
      </w:r>
    </w:p>
    <w:p w14:paraId="44E2B800" w14:textId="77777777" w:rsidR="00E94CC7" w:rsidRDefault="00E94CC7"/>
    <w:p w14:paraId="48B9A121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16E57B5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7539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FAC1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8CF9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064F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D34E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3B3C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4E8467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9977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4886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2692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8055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2634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3.894.217,73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7D5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7E9AD3" w14:textId="77777777" w:rsidR="00E94CC7" w:rsidRDefault="00E94CC7">
      <w:pPr>
        <w:spacing w:after="0"/>
      </w:pPr>
    </w:p>
    <w:p w14:paraId="3C067F66" w14:textId="77777777" w:rsidR="00E94CC7" w:rsidRDefault="00000000">
      <w:r>
        <w:t xml:space="preserve">Primici od financijske imovine i zaduživanja odnose se na primitak od Hrvatske banke za obnovu i razvitak sukladno sklopljenom Ugovoru o kreditu, kojom se financiraju rashodi za </w:t>
      </w:r>
      <w:r>
        <w:lastRenderedPageBreak/>
        <w:t>troškove projekta Topusko na izvoru zdravlja - lječilišni i wellness turizam na održiv način temeljem ispostavljenih privremenih situacija.</w:t>
      </w:r>
    </w:p>
    <w:p w14:paraId="6052315D" w14:textId="77777777" w:rsidR="00E94CC7" w:rsidRDefault="00E94CC7"/>
    <w:p w14:paraId="4C3C974C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60F0FC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528A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4A98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7FE8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D39A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9414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A7F42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EADD8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6530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CC4B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41DD0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8934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133.795,80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6AEAF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1.133.795,80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849A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847,4</w:t>
            </w:r>
          </w:p>
        </w:tc>
      </w:tr>
    </w:tbl>
    <w:p w14:paraId="2E62B0C6" w14:textId="77777777" w:rsidR="00E94CC7" w:rsidRDefault="00E94CC7">
      <w:pPr>
        <w:spacing w:after="0"/>
      </w:pPr>
    </w:p>
    <w:p w14:paraId="1B246B48" w14:textId="77777777" w:rsidR="00E94CC7" w:rsidRDefault="00000000">
      <w:r>
        <w:t>Lječilište Topusko uplatilo je 1.000.000,00 eura u svrhu povećanja temeljnog kapitala trgovačkog društva Top-Terme d.o.o. koje je u 100% vlasništvu Lječilišta Topusko, s ciljem očuvanja stabilnosti poslovanja Društva tijekom razdoblja rekonstrukcije i nadogradnje kompleksa Hotela Toplica, te zgrade Zdravstveno-rekreacijskog centra. Također u promatranom izvještajnom razdoblju bilježimo trošak otplate glavnice kredita HBOR-a.</w:t>
      </w:r>
    </w:p>
    <w:p w14:paraId="5F346A58" w14:textId="77777777" w:rsidR="00E94CC7" w:rsidRDefault="00E94CC7"/>
    <w:p w14:paraId="78E08CDB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38DBFB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8940F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4EFD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3117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282D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3105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661A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E53E4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4EAC6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FAF67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8FDD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67C9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0659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6.831.997,17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5DD9F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624390" w14:textId="77777777" w:rsidR="00E94CC7" w:rsidRDefault="00E94CC7">
      <w:pPr>
        <w:spacing w:after="0"/>
      </w:pPr>
    </w:p>
    <w:p w14:paraId="5BC6B2CB" w14:textId="77777777" w:rsidR="00E94CC7" w:rsidRDefault="00000000">
      <w:r>
        <w:t xml:space="preserve">Lječilište Topusko je u promatranom razdoblju u 2025.g. ostvarilo ukupne prihode i primitke (šifra X678) u iznosu od 9.744.574,24 </w:t>
      </w:r>
      <w:proofErr w:type="spellStart"/>
      <w:r>
        <w:t>eur</w:t>
      </w:r>
      <w:proofErr w:type="spellEnd"/>
      <w:r>
        <w:t>, a ukupni rashodi (Y345) iznose 18.005.553,07 eura iz čega proizlazi manjak od 8.260.978,83 eura u promatranom razdoblju. Višak prihoda i primitaka - preneseni (9221-9222) iznosi 1.428.981,66 eura. Slijedom navedenog, manjak prihoda i primitaka za pokriće u slijedećem razdoblju (Y006) iznosi 6.831.997,17 eura.</w:t>
      </w:r>
    </w:p>
    <w:p w14:paraId="70C5FA86" w14:textId="77777777" w:rsidR="00E94CC7" w:rsidRDefault="00E94CC7"/>
    <w:p w14:paraId="7628CC48" w14:textId="77777777" w:rsidR="00E94CC7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631CBB0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18B30E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FD73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FF5E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97D1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134B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074B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BD0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7D0A32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738B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6FEC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9B4C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9C40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39.947,71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2638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12.063.312,03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0752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B527F4F" w14:textId="77777777" w:rsidR="00E94CC7" w:rsidRDefault="00E94CC7">
      <w:pPr>
        <w:spacing w:after="0"/>
      </w:pPr>
    </w:p>
    <w:p w14:paraId="76EAAF1F" w14:textId="77777777" w:rsidR="00E94CC7" w:rsidRDefault="00000000">
      <w:r>
        <w:t xml:space="preserve">Do znatnog povećanja </w:t>
      </w:r>
      <w:proofErr w:type="spellStart"/>
      <w:r>
        <w:t>nematrijalne</w:t>
      </w:r>
      <w:proofErr w:type="spellEnd"/>
      <w:r>
        <w:t xml:space="preserve"> imovine dolazi zbog ulaganja, odnosno obnove, rekonstrukcije i modernizacije Hotela Toplica i Zdravstveno rekreacijskog centra u sklopu projekta Topusko na izvoru zdravlja - lječilišni i wellness turizam na održiv način.</w:t>
      </w:r>
    </w:p>
    <w:p w14:paraId="244D25A9" w14:textId="77777777" w:rsidR="00E94CC7" w:rsidRDefault="00E94CC7"/>
    <w:p w14:paraId="3EAA7F5D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118960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4EAC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EAB0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41F3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F05A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8D51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3FC7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66AC43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7F353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E8DF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A371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15EA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2.198.451,76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9F873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2.828.213,19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D394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79B58B05" w14:textId="77777777" w:rsidR="00E94CC7" w:rsidRDefault="00E94CC7">
      <w:pPr>
        <w:spacing w:after="0"/>
      </w:pPr>
    </w:p>
    <w:p w14:paraId="44A32F0F" w14:textId="77777777" w:rsidR="00E94CC7" w:rsidRDefault="00000000">
      <w:r>
        <w:t xml:space="preserve">Kod dugotrajne nefinancijske imovine u pripremi došlo je do povećanja u 2025.g. zbog dodatnih ulaganja na građevinskim </w:t>
      </w:r>
      <w:proofErr w:type="spellStart"/>
      <w:r>
        <w:t>objekima</w:t>
      </w:r>
      <w:proofErr w:type="spellEnd"/>
      <w:r>
        <w:t>, te dodatnih ulaganja na postrojenjima i opremi. Ostala nematerijalna imovina u pripremi u 2025.godini bilježi povećanje najvećim dijelom zbog ulaganja u računalne programe.</w:t>
      </w:r>
    </w:p>
    <w:p w14:paraId="4351302F" w14:textId="77777777" w:rsidR="00E94CC7" w:rsidRDefault="00E94CC7"/>
    <w:p w14:paraId="1CB25DD5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0492EA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6774B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B339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6FC4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9FBA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7FBC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3C1E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0E75B9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2B3D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903C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30BF6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EC352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1.128.385,07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7F5D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25.520.360,79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ECC71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2261,7</w:t>
            </w:r>
          </w:p>
        </w:tc>
      </w:tr>
    </w:tbl>
    <w:p w14:paraId="55579B82" w14:textId="77777777" w:rsidR="00E94CC7" w:rsidRDefault="00E94CC7">
      <w:pPr>
        <w:spacing w:after="0"/>
      </w:pPr>
    </w:p>
    <w:p w14:paraId="1CF5AF4F" w14:textId="77777777" w:rsidR="00E94CC7" w:rsidRDefault="00000000">
      <w:r>
        <w:t>Popis ugovornih odnosa (zadužnice):</w:t>
      </w:r>
    </w:p>
    <w:p w14:paraId="18531E74" w14:textId="77777777" w:rsidR="00E94CC7" w:rsidRDefault="00000000">
      <w:pPr>
        <w:pStyle w:val="Odlomakpopisa"/>
        <w:numPr>
          <w:ilvl w:val="0"/>
          <w:numId w:val="1"/>
        </w:numPr>
      </w:pPr>
      <w:r>
        <w:t xml:space="preserve">Po ugovoru o kreditu na iznos 23.253.420,76 </w:t>
      </w:r>
      <w:proofErr w:type="spellStart"/>
      <w:r>
        <w:t>eur</w:t>
      </w:r>
      <w:proofErr w:type="spellEnd"/>
    </w:p>
    <w:p w14:paraId="47C3F6D2" w14:textId="77777777" w:rsidR="00E94CC7" w:rsidRDefault="00000000">
      <w:pPr>
        <w:pStyle w:val="Odlomakpopisa"/>
        <w:numPr>
          <w:ilvl w:val="0"/>
          <w:numId w:val="1"/>
        </w:numPr>
      </w:pPr>
      <w:r>
        <w:t xml:space="preserve">Jamstava za ozbiljnost ponude na iznos 59.916,80 </w:t>
      </w:r>
      <w:proofErr w:type="spellStart"/>
      <w:r>
        <w:t>eur</w:t>
      </w:r>
      <w:proofErr w:type="spellEnd"/>
    </w:p>
    <w:p w14:paraId="43E0B659" w14:textId="77777777" w:rsidR="00E94CC7" w:rsidRDefault="00000000">
      <w:pPr>
        <w:pStyle w:val="Odlomakpopisa"/>
        <w:numPr>
          <w:ilvl w:val="0"/>
          <w:numId w:val="1"/>
        </w:numPr>
      </w:pPr>
      <w:r>
        <w:t xml:space="preserve">Po ugovorima o nabavi roba, radova i usluga na iznos 164.000,00 </w:t>
      </w:r>
      <w:proofErr w:type="spellStart"/>
      <w:r>
        <w:t>eur</w:t>
      </w:r>
      <w:proofErr w:type="spellEnd"/>
    </w:p>
    <w:p w14:paraId="1EC048EE" w14:textId="77777777" w:rsidR="00E94CC7" w:rsidRDefault="00000000">
      <w:r>
        <w:t>Popis ugovornih odnosa (garancije):</w:t>
      </w:r>
    </w:p>
    <w:p w14:paraId="51BA88B5" w14:textId="77777777" w:rsidR="00E94CC7" w:rsidRDefault="00000000">
      <w:pPr>
        <w:pStyle w:val="Odlomakpopisa"/>
        <w:numPr>
          <w:ilvl w:val="0"/>
          <w:numId w:val="2"/>
        </w:numPr>
      </w:pPr>
      <w:r>
        <w:t>Garancije na iznos 2.043.023,23 eura</w:t>
      </w:r>
    </w:p>
    <w:p w14:paraId="7C1B7512" w14:textId="77777777" w:rsidR="00E94CC7" w:rsidRDefault="00E94CC7"/>
    <w:p w14:paraId="44673444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1FF648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CF0F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180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AB38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582C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7E6F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53CB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59590A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8012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317F07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F00F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031F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25.776,32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A75C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21.691,09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515FA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</w:tbl>
    <w:p w14:paraId="480751D1" w14:textId="77777777" w:rsidR="00E94CC7" w:rsidRDefault="00E94CC7">
      <w:pPr>
        <w:spacing w:after="0"/>
      </w:pPr>
    </w:p>
    <w:p w14:paraId="5BDAAAD2" w14:textId="77777777" w:rsidR="00E94CC7" w:rsidRDefault="00000000">
      <w:r>
        <w:t>Popis sudskih sporova u tijeku - potencijalne obveze:</w:t>
      </w:r>
    </w:p>
    <w:p w14:paraId="6ED829B4" w14:textId="77777777" w:rsidR="00E94CC7" w:rsidRDefault="00000000">
      <w:pPr>
        <w:pStyle w:val="Odlomakpopisa"/>
        <w:numPr>
          <w:ilvl w:val="0"/>
          <w:numId w:val="1"/>
        </w:numPr>
      </w:pPr>
      <w:r>
        <w:t>Pacijent je pokrenuo spor radi naknade štete zbog ozljeda zadobivenih prilikom provođenja fizikalne terapije prilikom pada u Lječilištu -procjena financijskog učinka iznosi 21.691,09 eura, a procijenjeno vrijeme odljeva sredstava je 2 godine</w:t>
      </w:r>
    </w:p>
    <w:p w14:paraId="75C4E269" w14:textId="77777777" w:rsidR="00E94CC7" w:rsidRDefault="00E94CC7"/>
    <w:p w14:paraId="1D2ED873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5138E3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2627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8029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22E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2FAE4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FEA2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68E2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7E6C9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490A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E918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2356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8455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2.145.216,53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974B8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2.104.024,55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FADAE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</w:tbl>
    <w:p w14:paraId="0BC72CB5" w14:textId="77777777" w:rsidR="00E94CC7" w:rsidRDefault="00E94CC7">
      <w:pPr>
        <w:spacing w:after="0"/>
      </w:pPr>
    </w:p>
    <w:p w14:paraId="730AD944" w14:textId="77777777" w:rsidR="00E94CC7" w:rsidRDefault="00000000">
      <w:r>
        <w:rPr>
          <w:b/>
        </w:rPr>
        <w:t>Popis sudskih sporova u tijeku - potencijalna imovina:</w:t>
      </w:r>
    </w:p>
    <w:p w14:paraId="023E0AC8" w14:textId="77777777" w:rsidR="00E94CC7" w:rsidRDefault="00000000">
      <w:pPr>
        <w:pStyle w:val="Odlomakpopisa"/>
        <w:numPr>
          <w:ilvl w:val="0"/>
          <w:numId w:val="1"/>
        </w:numPr>
      </w:pPr>
      <w:r>
        <w:t> Lječilište je pokrenulo sudski spor radi utvrđenja prava vlasništva zemljišta - procjena financijskog učinka iznosi 3.321,39 eura, a procijenjeno   vrijeme priljeva sredstava je 3 godine</w:t>
      </w:r>
    </w:p>
    <w:p w14:paraId="21303E8D" w14:textId="77777777" w:rsidR="00E94CC7" w:rsidRDefault="00000000">
      <w:pPr>
        <w:pStyle w:val="Odlomakpopisa"/>
        <w:numPr>
          <w:ilvl w:val="0"/>
          <w:numId w:val="1"/>
        </w:numPr>
      </w:pPr>
      <w:r>
        <w:t> </w:t>
      </w:r>
      <w:proofErr w:type="spellStart"/>
      <w:r>
        <w:t>Protustranka</w:t>
      </w:r>
      <w:proofErr w:type="spellEnd"/>
      <w:r>
        <w:t xml:space="preserve"> je pokrenula sudski spor radi utvrđenja prava vlasništva zemljišta - procjena financijskog učinka iznosi 1.632,49 eura, a   procijenjeno   vrijeme priljeva sredstava je 2 godine</w:t>
      </w:r>
    </w:p>
    <w:p w14:paraId="52DC5AED" w14:textId="77777777" w:rsidR="00E94CC7" w:rsidRDefault="00000000">
      <w:r>
        <w:rPr>
          <w:b/>
        </w:rPr>
        <w:t>Popis ugovornih odnosa (zadužnice, garancije):</w:t>
      </w:r>
    </w:p>
    <w:p w14:paraId="6A990D50" w14:textId="77777777" w:rsidR="00E94CC7" w:rsidRDefault="00000000">
      <w:pPr>
        <w:pStyle w:val="Odlomakpopisa"/>
        <w:numPr>
          <w:ilvl w:val="0"/>
          <w:numId w:val="3"/>
        </w:numPr>
      </w:pPr>
      <w:r>
        <w:t xml:space="preserve">Zadužnice na iznos 262.267,65 </w:t>
      </w:r>
      <w:proofErr w:type="spellStart"/>
      <w:r>
        <w:t>eur</w:t>
      </w:r>
      <w:proofErr w:type="spellEnd"/>
    </w:p>
    <w:p w14:paraId="0CA0A064" w14:textId="77777777" w:rsidR="00E94CC7" w:rsidRDefault="00000000">
      <w:pPr>
        <w:pStyle w:val="Odlomakpopisa"/>
        <w:numPr>
          <w:ilvl w:val="0"/>
          <w:numId w:val="3"/>
        </w:numPr>
      </w:pPr>
      <w:r>
        <w:t xml:space="preserve">Garancije na iznos 1.836.803,02 </w:t>
      </w:r>
      <w:proofErr w:type="spellStart"/>
      <w:r>
        <w:t>eur</w:t>
      </w:r>
      <w:proofErr w:type="spellEnd"/>
    </w:p>
    <w:p w14:paraId="0935C624" w14:textId="77777777" w:rsidR="00E94CC7" w:rsidRDefault="00E94CC7"/>
    <w:p w14:paraId="6EFF1430" w14:textId="77777777" w:rsidR="00E94CC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AB66FB8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355F12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8D07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25147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4E7C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CDF7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A83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67910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3CF110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6368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470C32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Poslovi i usluge zdravstva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BBF9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2E7F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4.790.925,64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ABBB7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16.871.757,27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0170C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352,2</w:t>
            </w:r>
          </w:p>
        </w:tc>
      </w:tr>
    </w:tbl>
    <w:p w14:paraId="071AD86F" w14:textId="77777777" w:rsidR="00E94CC7" w:rsidRDefault="00E94CC7">
      <w:pPr>
        <w:spacing w:after="0"/>
      </w:pPr>
    </w:p>
    <w:p w14:paraId="2BEDC449" w14:textId="77777777" w:rsidR="00E94CC7" w:rsidRDefault="00000000">
      <w:r>
        <w:t>U 2025.godini ostvareno je rashoda poslovanja i rashoda za nabavu nefinancijske imovine u ukupnom iznosu od 16.871.757,27 eura. Rashodi poslovanja ostvareni su u iznosu od 4.095.468,52 (što je iskazano u obrascu PR-RAS), dok su rashodi za nabavu nefinancijske imovine ostvareni u iznosu od 12.776.288,75 eura.</w:t>
      </w:r>
    </w:p>
    <w:p w14:paraId="5B8FF391" w14:textId="77777777" w:rsidR="00E94CC7" w:rsidRDefault="00E94CC7"/>
    <w:p w14:paraId="3C7FF3B8" w14:textId="77777777" w:rsidR="00E94CC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3B59EDB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94CC7" w14:paraId="65C523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BF633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0D6AC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85DA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D88F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D2A06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21965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41F6FF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4C18E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256DB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AC31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BE1D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2.329.397,33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2BDD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962FB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B4431D" w14:textId="77777777" w:rsidR="00E94CC7" w:rsidRDefault="00E94CC7">
      <w:pPr>
        <w:spacing w:after="0"/>
      </w:pPr>
    </w:p>
    <w:p w14:paraId="0D7F8E2C" w14:textId="77777777" w:rsidR="00E94CC7" w:rsidRDefault="00000000">
      <w:r>
        <w:t xml:space="preserve">U 2025. godini došlo je do povećanja vrijednosti imovine, najvećim dijelom zbog knjiženja procjembenih elaborata za zemljišta i zgrade, te Odluke Sisačko-moslavačke županije o prijenosu imovine. Odluka o prijenosu imovine iznosila je 1.269.671,81 </w:t>
      </w:r>
      <w:proofErr w:type="spellStart"/>
      <w:r>
        <w:t>eur</w:t>
      </w:r>
      <w:proofErr w:type="spellEnd"/>
      <w:r>
        <w:t xml:space="preserve">, a vrijednosti procjembenih elaborata za zemljište i zgrade iznose 1.059.725,52 </w:t>
      </w:r>
      <w:proofErr w:type="spellStart"/>
      <w:r>
        <w:t>eur</w:t>
      </w:r>
      <w:proofErr w:type="spellEnd"/>
      <w:r>
        <w:t>.</w:t>
      </w:r>
    </w:p>
    <w:p w14:paraId="717DF144" w14:textId="77777777" w:rsidR="00E94CC7" w:rsidRDefault="00E94CC7"/>
    <w:p w14:paraId="079DC241" w14:textId="77777777" w:rsidR="00E94CC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A31F787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94CC7" w14:paraId="436997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1CD8E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7C6C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1CCC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049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F49A9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7108B8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F87E6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D4B3C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C1DFA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6F036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A3324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A0D0EE" w14:textId="77777777" w:rsidR="00E94CC7" w:rsidRDefault="00E94CC7">
      <w:pPr>
        <w:spacing w:after="0"/>
      </w:pPr>
    </w:p>
    <w:p w14:paraId="127C3AD1" w14:textId="77777777" w:rsidR="00E94CC7" w:rsidRDefault="00000000">
      <w:r>
        <w:t>Lječilište Topusko na dan 31.12.2025.g. nema dospjelih obveza.</w:t>
      </w:r>
    </w:p>
    <w:p w14:paraId="42E91D3F" w14:textId="77777777" w:rsidR="00E94CC7" w:rsidRDefault="00E94CC7"/>
    <w:p w14:paraId="0413D202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94CC7" w14:paraId="568E91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C3B38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8986D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C799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0A611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F8D5A" w14:textId="77777777" w:rsidR="00E94C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4CC7" w14:paraId="1A0EA1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E686F" w14:textId="77777777" w:rsidR="00E94CC7" w:rsidRDefault="00E94C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9370D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1C791" w14:textId="77777777" w:rsidR="00E94C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1B0FD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13.989.203,67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F8CF0" w14:textId="77777777" w:rsidR="00E94C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5336BA" w14:textId="77777777" w:rsidR="00E94CC7" w:rsidRDefault="00E94CC7">
      <w:pPr>
        <w:spacing w:after="0"/>
      </w:pPr>
    </w:p>
    <w:p w14:paraId="19674188" w14:textId="77777777" w:rsidR="00E94CC7" w:rsidRDefault="00000000">
      <w:r>
        <w:t xml:space="preserve">Stanje nedospjelih obveza na dan 31.12.2025. godine iznose 13.989.203,67 eura. Najveća obveza odnosi se na EU predujmove dane iz državnog proračuna temeljem sklopljenog Ugovora za bespovratna sredstva sa Ministarstvom turizma i sporta u iznosu od 7.629.255,43 </w:t>
      </w:r>
      <w:proofErr w:type="spellStart"/>
      <w:r>
        <w:t>eur</w:t>
      </w:r>
      <w:proofErr w:type="spellEnd"/>
      <w:r>
        <w:t xml:space="preserve">. Obveze za manje izvršen rad iznose 350.576,81 </w:t>
      </w:r>
      <w:proofErr w:type="spellStart"/>
      <w:r>
        <w:t>eur</w:t>
      </w:r>
      <w:proofErr w:type="spellEnd"/>
      <w:r>
        <w:t xml:space="preserve">. Obveze za kredite od kreditnih  institucija u javnom sektoru - dugoročni iznose 4.964.574,33 </w:t>
      </w:r>
      <w:proofErr w:type="spellStart"/>
      <w:r>
        <w:t>eur</w:t>
      </w:r>
      <w:proofErr w:type="spellEnd"/>
      <w:r>
        <w:t xml:space="preserve">, obveze za nabavu nefinancijske imovine iznose 642.463,61 </w:t>
      </w:r>
      <w:proofErr w:type="spellStart"/>
      <w:r>
        <w:t>eur</w:t>
      </w:r>
      <w:proofErr w:type="spellEnd"/>
      <w:r>
        <w:t xml:space="preserve">, obveze za rashode poslovanja iznose 380.970,51 </w:t>
      </w:r>
      <w:proofErr w:type="spellStart"/>
      <w:r>
        <w:t>eur</w:t>
      </w:r>
      <w:proofErr w:type="spellEnd"/>
      <w:r>
        <w:t xml:space="preserve"> i ostale nedospjele obveze iznose 21.362,98 eura.</w:t>
      </w:r>
    </w:p>
    <w:p w14:paraId="2949CE95" w14:textId="77777777" w:rsidR="00E94CC7" w:rsidRDefault="00E94CC7"/>
    <w:p w14:paraId="0F86EB3F" w14:textId="77777777" w:rsidR="00E94CC7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p w14:paraId="45FB7D71" w14:textId="77777777" w:rsidR="00E94CC7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C0842AC" w14:textId="77777777" w:rsidR="00E94CC7" w:rsidRDefault="00000000">
      <w:r>
        <w:t>Na kontu prihoda 63821 - kapitalne pomoći iz državnog proračuna temeljem prijenosa EU sredstava u iznosu od 29.287,14 eura, odnose se na ostvarene prihode temeljem podnesenih Zahtjeva za nadoknadom sredstava za projekt Topusko na izvoru zdravlja - lječilišni i wellness turizam na održiv način.</w:t>
      </w:r>
    </w:p>
    <w:p w14:paraId="43F2AC88" w14:textId="77777777" w:rsidR="00E94CC7" w:rsidRDefault="00000000">
      <w:r>
        <w:t xml:space="preserve">Na kontu rashoda 4124 - ostala prava u iznosu 7.947.115,92 </w:t>
      </w:r>
      <w:proofErr w:type="spellStart"/>
      <w:r>
        <w:t>eur</w:t>
      </w:r>
      <w:proofErr w:type="spellEnd"/>
      <w:r>
        <w:t>, odnose se na rashode vezane za provedbu projekta Topusko na izvoru zdravlja - lječilišni i wellness turizam na održiv način.</w:t>
      </w:r>
    </w:p>
    <w:p w14:paraId="4FD1B466" w14:textId="77777777" w:rsidR="00E94CC7" w:rsidRDefault="00000000">
      <w:r>
        <w:t xml:space="preserve">Na kontu rashoda 451 - dodatna ulaganja na građevinskim objektima u iznosu 210.924,00 </w:t>
      </w:r>
      <w:proofErr w:type="spellStart"/>
      <w:r>
        <w:t>eur</w:t>
      </w:r>
      <w:proofErr w:type="spellEnd"/>
      <w:r>
        <w:t>, odnose se na rashode vezane za provedbu projekta Izrada projektno tehničke dokumentacije za izgradnju zdravstvene infrastrukture u Topuskom.</w:t>
      </w:r>
    </w:p>
    <w:p w14:paraId="3B028279" w14:textId="77777777" w:rsidR="00E94CC7" w:rsidRDefault="00000000">
      <w:r>
        <w:t xml:space="preserve">Na kontu 96382- kapitalne pomoći iz državnog proračuna temeljem prijenosa EU sredstava - dugovna strana - promet u izvještajnom razdoblju se odnosi na naplaćene Zahtjeve za </w:t>
      </w:r>
      <w:r>
        <w:lastRenderedPageBreak/>
        <w:t>nadoknadom sredstava po projektu Izrada projektno tehničke dokumentacije za izgradnju zdravstvene infrastrukture u Topuskom.</w:t>
      </w:r>
    </w:p>
    <w:p w14:paraId="6A54387E" w14:textId="77777777" w:rsidR="00E94CC7" w:rsidRDefault="00000000">
      <w:r>
        <w:t xml:space="preserve">Na kontu 96382- kapitalne pomoći iz državnog proračuna temeljem prijenosa EU sredstava  - potražna strana - promet u izvještajnom razdoblju se odnosi na podnesene ZNS-ove za oba projekta u iznosu 263.647,14 </w:t>
      </w:r>
      <w:proofErr w:type="spellStart"/>
      <w:r>
        <w:t>eur</w:t>
      </w:r>
      <w:proofErr w:type="spellEnd"/>
      <w:r>
        <w:t>.</w:t>
      </w:r>
    </w:p>
    <w:p w14:paraId="3C082020" w14:textId="77777777" w:rsidR="00E94CC7" w:rsidRDefault="00000000">
      <w:r>
        <w:t xml:space="preserve">Na kontu 16382 - potraživanja za kapitalne pomoći iz državnog proračuna temeljem prijenosa EU sredstava iznose 234.360,00 </w:t>
      </w:r>
      <w:proofErr w:type="spellStart"/>
      <w:r>
        <w:t>eur</w:t>
      </w:r>
      <w:proofErr w:type="spellEnd"/>
      <w:r>
        <w:t>, iskazano je stanje na zadnji dan izvještajnog razdoblja te se odnosi na potraživanje po ZNS-u za projekt Izrada projektno tehničke dokumentacije za izgradnju zdravstvene infrastrukture u Topuskom.</w:t>
      </w:r>
    </w:p>
    <w:p w14:paraId="1EC54A1D" w14:textId="77777777" w:rsidR="00E94CC7" w:rsidRDefault="00000000">
      <w:r>
        <w:t xml:space="preserve">Na kontu 27521 - obveze za EU predujmove dane iz državnog proračuna iznose 7.629.255,43 </w:t>
      </w:r>
      <w:proofErr w:type="spellStart"/>
      <w:r>
        <w:t>eur</w:t>
      </w:r>
      <w:proofErr w:type="spellEnd"/>
      <w:r>
        <w:t>, te se odnosi na priljeve novčanih sredstava iz državnog proračuna na poslovni račun Lječilišta Topusko po projektu Topusko na izvoru zdravlja - lječilišni i wellness turizam na održiv način.</w:t>
      </w:r>
    </w:p>
    <w:p w14:paraId="11B8EFE3" w14:textId="77777777" w:rsidR="00E94CC7" w:rsidRDefault="00000000">
      <w:r>
        <w:t xml:space="preserve">Na kontu 99171 - potraživanja po ugovorima o dodijeljenim bespovratnim sredstvima iz EU fondova iznose 16.954.295,75 </w:t>
      </w:r>
      <w:proofErr w:type="spellStart"/>
      <w:r>
        <w:t>eur</w:t>
      </w:r>
      <w:proofErr w:type="spellEnd"/>
      <w:r>
        <w:t>, te se isti odnosi na projekt Topusko na izvoru zdravlja - lječilišni i wellness turizam na održiv način.</w:t>
      </w:r>
    </w:p>
    <w:p w14:paraId="7ED79786" w14:textId="77777777" w:rsidR="00E94CC7" w:rsidRDefault="00E94CC7"/>
    <w:p w14:paraId="3E14DEAE" w14:textId="5D3FDD18" w:rsidR="00894318" w:rsidRDefault="00894318" w:rsidP="00894318">
      <w:r>
        <w:t xml:space="preserve">Topusko, </w:t>
      </w:r>
      <w:r w:rsidR="00144D07">
        <w:t>31</w:t>
      </w:r>
      <w:r>
        <w:t>.0</w:t>
      </w:r>
      <w:r w:rsidR="00144D07">
        <w:t>1</w:t>
      </w:r>
      <w:r>
        <w:t>.2026.</w:t>
      </w:r>
    </w:p>
    <w:p w14:paraId="41AF9C1E" w14:textId="77777777" w:rsidR="00894318" w:rsidRDefault="00894318" w:rsidP="00894318"/>
    <w:p w14:paraId="09050737" w14:textId="77777777" w:rsidR="00894318" w:rsidRDefault="00894318" w:rsidP="00894318"/>
    <w:p w14:paraId="20F27411" w14:textId="77777777" w:rsidR="00894318" w:rsidRDefault="00894318" w:rsidP="00894318">
      <w:r>
        <w:t>Bilješke sastavila: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105B74AA" w14:textId="77777777" w:rsidR="00894318" w:rsidRDefault="00894318" w:rsidP="00894318"/>
    <w:p w14:paraId="1F9751FC" w14:textId="77777777" w:rsidR="00894318" w:rsidRDefault="00894318" w:rsidP="00894318">
      <w:r>
        <w:t>Služba za ekonomsko-</w:t>
      </w:r>
      <w:r>
        <w:tab/>
      </w:r>
      <w:r>
        <w:tab/>
      </w:r>
      <w:r>
        <w:tab/>
      </w:r>
      <w:r>
        <w:tab/>
      </w:r>
      <w:r>
        <w:tab/>
        <w:t xml:space="preserve">Domagoj Mosler, </w:t>
      </w:r>
      <w:proofErr w:type="spellStart"/>
      <w:r>
        <w:t>dr.med.spec</w:t>
      </w:r>
      <w:proofErr w:type="spellEnd"/>
      <w:r>
        <w:t>.</w:t>
      </w:r>
    </w:p>
    <w:p w14:paraId="0B30FB2E" w14:textId="77777777" w:rsidR="00894318" w:rsidRDefault="00894318" w:rsidP="00894318">
      <w:r>
        <w:t>financijske poslove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univ.mag.admin.sanit</w:t>
      </w:r>
      <w:proofErr w:type="spellEnd"/>
      <w:r>
        <w:t>.</w:t>
      </w:r>
    </w:p>
    <w:p w14:paraId="007FB379" w14:textId="77777777" w:rsidR="00894318" w:rsidRDefault="00894318"/>
    <w:sectPr w:rsidR="00894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16FE8"/>
    <w:multiLevelType w:val="hybridMultilevel"/>
    <w:tmpl w:val="B1BC19C2"/>
    <w:name w:val="decimal"/>
    <w:lvl w:ilvl="0" w:tplc="72CEC6AA">
      <w:start w:val="1"/>
      <w:numFmt w:val="decimal"/>
      <w:lvlText w:val="%1."/>
      <w:lvlJc w:val="left"/>
      <w:pPr>
        <w:ind w:left="720" w:hanging="360"/>
      </w:pPr>
    </w:lvl>
    <w:lvl w:ilvl="1" w:tplc="18388BC6">
      <w:start w:val="1"/>
      <w:numFmt w:val="decimal"/>
      <w:lvlText w:val="%2."/>
      <w:lvlJc w:val="left"/>
      <w:pPr>
        <w:ind w:left="1440" w:hanging="360"/>
      </w:pPr>
    </w:lvl>
    <w:lvl w:ilvl="2" w:tplc="93A0ED38">
      <w:start w:val="1"/>
      <w:numFmt w:val="decimal"/>
      <w:lvlText w:val="%3."/>
      <w:lvlJc w:val="left"/>
      <w:pPr>
        <w:ind w:left="2160" w:hanging="360"/>
      </w:pPr>
    </w:lvl>
    <w:lvl w:ilvl="3" w:tplc="3A4A75EC">
      <w:start w:val="1"/>
      <w:numFmt w:val="decimal"/>
      <w:lvlText w:val="%4."/>
      <w:lvlJc w:val="left"/>
      <w:pPr>
        <w:ind w:left="2880" w:hanging="360"/>
      </w:pPr>
    </w:lvl>
    <w:lvl w:ilvl="4" w:tplc="51A4947A">
      <w:start w:val="1"/>
      <w:numFmt w:val="decimal"/>
      <w:lvlText w:val="%5."/>
      <w:lvlJc w:val="left"/>
      <w:pPr>
        <w:ind w:left="3600" w:hanging="360"/>
      </w:pPr>
    </w:lvl>
    <w:lvl w:ilvl="5" w:tplc="9EF49E64">
      <w:start w:val="1"/>
      <w:numFmt w:val="decimal"/>
      <w:lvlText w:val="%6."/>
      <w:lvlJc w:val="left"/>
      <w:pPr>
        <w:ind w:left="4320" w:hanging="360"/>
      </w:pPr>
    </w:lvl>
    <w:lvl w:ilvl="6" w:tplc="F7C27016">
      <w:start w:val="1"/>
      <w:numFmt w:val="decimal"/>
      <w:lvlText w:val="%7."/>
      <w:lvlJc w:val="left"/>
      <w:pPr>
        <w:ind w:left="5040" w:hanging="360"/>
      </w:pPr>
    </w:lvl>
    <w:lvl w:ilvl="7" w:tplc="8E4EC488">
      <w:start w:val="1"/>
      <w:numFmt w:val="decimal"/>
      <w:lvlText w:val="%8."/>
      <w:lvlJc w:val="left"/>
      <w:pPr>
        <w:ind w:left="5760" w:hanging="360"/>
      </w:pPr>
    </w:lvl>
    <w:lvl w:ilvl="8" w:tplc="30A47186">
      <w:start w:val="1"/>
      <w:numFmt w:val="decimal"/>
      <w:lvlText w:val="%9."/>
      <w:lvlJc w:val="left"/>
      <w:pPr>
        <w:ind w:left="6480" w:hanging="360"/>
      </w:pPr>
    </w:lvl>
  </w:abstractNum>
  <w:num w:numId="1" w16cid:durableId="1685014592">
    <w:abstractNumId w:val="0"/>
    <w:lvlOverride w:ilvl="0">
      <w:startOverride w:val="1"/>
    </w:lvlOverride>
  </w:num>
  <w:num w:numId="2" w16cid:durableId="878250666">
    <w:abstractNumId w:val="0"/>
    <w:lvlOverride w:ilvl="0">
      <w:startOverride w:val="1"/>
    </w:lvlOverride>
  </w:num>
  <w:num w:numId="3" w16cid:durableId="14296985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C7"/>
    <w:rsid w:val="00144D07"/>
    <w:rsid w:val="002A5874"/>
    <w:rsid w:val="005F5E2D"/>
    <w:rsid w:val="00894318"/>
    <w:rsid w:val="00E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DE3A"/>
  <w15:docId w15:val="{CC797F1C-71F7-4A9C-9770-6EF5D20D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3738</Words>
  <Characters>21310</Characters>
  <Application>Microsoft Office Word</Application>
  <DocSecurity>0</DocSecurity>
  <Lines>177</Lines>
  <Paragraphs>49</Paragraphs>
  <ScaleCrop>false</ScaleCrop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Računovodstvo Lječilište Topusko</cp:lastModifiedBy>
  <cp:revision>4</cp:revision>
  <cp:lastPrinted>2026-02-02T08:13:00Z</cp:lastPrinted>
  <dcterms:created xsi:type="dcterms:W3CDTF">2026-02-02T08:06:00Z</dcterms:created>
  <dcterms:modified xsi:type="dcterms:W3CDTF">2026-02-02T08:13:00Z</dcterms:modified>
</cp:coreProperties>
</file>